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E9154C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C13384" w:rsidRPr="006663A8" w:rsidRDefault="00C13384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</w:p>
    <w:p w:rsidR="00BA310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C13384">
        <w:rPr>
          <w:b/>
          <w:sz w:val="24"/>
          <w:szCs w:val="24"/>
        </w:rPr>
        <w:t>27</w:t>
      </w:r>
    </w:p>
    <w:p w:rsidR="000A4010" w:rsidRPr="006663A8" w:rsidRDefault="000A4010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C13384">
        <w:rPr>
          <w:rFonts w:ascii="Arial" w:hAnsi="Arial"/>
          <w:b/>
          <w:bCs/>
          <w:snapToGrid w:val="0"/>
          <w:sz w:val="28"/>
        </w:rPr>
        <w:t>14/05/2021</w:t>
      </w:r>
    </w:p>
    <w:p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A33F1D" w:rsidRDefault="001E1956" w:rsidP="00A33F1D">
      <w:pPr>
        <w:pStyle w:val="Corpotesto"/>
        <w:spacing w:before="76" w:line="252" w:lineRule="auto"/>
        <w:ind w:left="115" w:right="104"/>
      </w:pPr>
      <w:r w:rsidRPr="005123A4">
        <w:rPr>
          <w:rFonts w:ascii="Arial" w:hAnsi="Arial"/>
          <w:sz w:val="22"/>
          <w:szCs w:val="22"/>
        </w:rPr>
        <w:t>OGGETTO:</w:t>
      </w:r>
      <w:r w:rsidR="00AA7313">
        <w:rPr>
          <w:rFonts w:ascii="Arial" w:hAnsi="Arial"/>
          <w:sz w:val="22"/>
          <w:szCs w:val="22"/>
        </w:rPr>
        <w:t xml:space="preserve"> </w:t>
      </w:r>
      <w:r w:rsidR="002C5AE1" w:rsidRPr="00272D9F">
        <w:rPr>
          <w:rFonts w:ascii="Arial" w:hAnsi="Arial"/>
          <w:sz w:val="18"/>
          <w:szCs w:val="18"/>
        </w:rPr>
        <w:t xml:space="preserve"> </w:t>
      </w:r>
      <w:r w:rsidR="00A33F1D">
        <w:rPr>
          <w:w w:val="115"/>
        </w:rPr>
        <w:t>A</w:t>
      </w:r>
      <w:r w:rsidR="000E236B">
        <w:rPr>
          <w:w w:val="115"/>
        </w:rPr>
        <w:t>RMONIZZAZIONE DEI SISTEMI E DEGLI SCHEMI CONTABILI DI CUI AL D.LGS N. 118/2011. ESECIZIO DELL’OPZIONI DI NON TENERE LA CONTABILITA’ ECONOMICO –PATRIMONIALE (COMUNI SOTTO I 5.000 ABITANTI (ART. 57, C.2- TER D.L. N. 124/2019)</w:t>
      </w:r>
      <w:r w:rsidR="00A33F1D">
        <w:rPr>
          <w:w w:val="115"/>
        </w:rPr>
        <w:t>.</w:t>
      </w:r>
    </w:p>
    <w:p w:rsidR="00452F27" w:rsidRDefault="00452F27" w:rsidP="00360AFA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18"/>
          <w:szCs w:val="18"/>
        </w:rPr>
      </w:pPr>
    </w:p>
    <w:p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VENTUNO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C13384">
        <w:rPr>
          <w:rFonts w:ascii="Arial" w:hAnsi="Arial" w:cs="Arial"/>
        </w:rPr>
        <w:t>14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C13384">
        <w:rPr>
          <w:rFonts w:ascii="Arial" w:hAnsi="Arial" w:cs="Arial"/>
          <w:b/>
        </w:rPr>
        <w:t xml:space="preserve">MAGGIO 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EE26BF">
        <w:rPr>
          <w:rFonts w:ascii="Arial" w:hAnsi="Arial" w:cs="Arial"/>
          <w:b/>
        </w:rPr>
        <w:t>19,00</w:t>
      </w:r>
      <w:r w:rsidR="000E236B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E9154C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0A4010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0E236B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E9154C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E9154C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0E236B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E34D95">
        <w:rPr>
          <w:rFonts w:ascii="Arial" w:hAnsi="Arial"/>
          <w:bCs/>
          <w:snapToGrid w:val="0"/>
          <w:sz w:val="24"/>
        </w:rPr>
        <w:t xml:space="preserve">Sindaco Mercuri Antonio 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Visto il decreto legislativo 23 giugno  2011  n. 118,  emanato   in attuazione degli articoli 1 e 2 della legge 5 maggio    2009 n, 42, e recante </w:t>
      </w:r>
      <w:r w:rsidR="00E11154">
        <w:rPr>
          <w:w w:val="110"/>
        </w:rPr>
        <w:t>“</w:t>
      </w:r>
      <w:r w:rsidRPr="001B2C6B">
        <w:rPr>
          <w:w w:val="110"/>
        </w:rPr>
        <w:t>Disposizioni in materia di armonizzazione    dei sistemi contabili e degli schemi  di bilancio delle regioni, degli enti locali e del loro organismi</w:t>
      </w:r>
      <w:r w:rsidR="00E11154">
        <w:rPr>
          <w:w w:val="110"/>
        </w:rPr>
        <w:t>”</w:t>
      </w:r>
      <w:r w:rsidRPr="001B2C6B">
        <w:rPr>
          <w:w w:val="110"/>
        </w:rPr>
        <w:t xml:space="preserve">, con il quale </w:t>
      </w:r>
      <w:r w:rsidR="00E11154">
        <w:rPr>
          <w:w w:val="110"/>
        </w:rPr>
        <w:t>è</w:t>
      </w:r>
      <w:r w:rsidRPr="001B2C6B">
        <w:rPr>
          <w:w w:val="110"/>
        </w:rPr>
        <w:t xml:space="preserve"> stata approvata la riforma della           contabilità degli enti territoriali (regioni, province, comuni ed enti del SSN);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Atteso  che la suddetta  riforma </w:t>
      </w:r>
      <w:r w:rsidR="00E11154">
        <w:rPr>
          <w:w w:val="110"/>
        </w:rPr>
        <w:t>è</w:t>
      </w:r>
      <w:r w:rsidRPr="001B2C6B">
        <w:rPr>
          <w:w w:val="110"/>
        </w:rPr>
        <w:t xml:space="preserve"> un tassello  fondamentale della generale  operazione  di armonizzazione   dei    sistemi contabili di tutti i livelli di governo, nata </w:t>
      </w:r>
      <w:r w:rsidRPr="001B2C6B">
        <w:rPr>
          <w:w w:val="110"/>
        </w:rPr>
        <w:lastRenderedPageBreak/>
        <w:t xml:space="preserve">dall'esigenza di garantire il monitoraggio e il controllo degli  andamenti  della finanza  pubblica  e consentire di   raccordare i sistemi contabili e gli schemi di bilancio con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quelli adottati in ambito europeo;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• Tenuto   conto che  l'applicazione del   nuovo   ordinamento contabile  determina un   forte impatto gestionale e  organizzativo  sugli enti, con   conseguente incremento  del carico di lavoro non  solo per  il servizio finanziario    ma   in capo   a tutti i servizi, in quanto richiede l'applicazione di  nuove regole,  la revisione  dei processi           lavorativi, adozione  di nuovi schemi    e di nuovi   documenti contabili e  implica  numerose   competenze   in      materia contabile da parte degli  organi coinvolti, con un notevole sforzo di  aggiornamento normativo;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Ricordato  sinteticamente che l'applicazione della riforma richiede obbligatoriamente  per  tutti gli enti: </w:t>
      </w:r>
    </w:p>
    <w:p w:rsidR="0015425E" w:rsidRDefault="001B2C6B" w:rsidP="0015425E">
      <w:pPr>
        <w:pStyle w:val="Corpotesto"/>
        <w:numPr>
          <w:ilvl w:val="0"/>
          <w:numId w:val="38"/>
        </w:numPr>
        <w:rPr>
          <w:w w:val="110"/>
        </w:rPr>
      </w:pPr>
      <w:r w:rsidRPr="001B2C6B">
        <w:rPr>
          <w:w w:val="110"/>
        </w:rPr>
        <w:t>l'approvazione del documento  unico di programmazione   ai  sensi de</w:t>
      </w:r>
      <w:r w:rsidR="0015425E">
        <w:rPr>
          <w:w w:val="110"/>
        </w:rPr>
        <w:t xml:space="preserve">li art 170, </w:t>
      </w:r>
      <w:proofErr w:type="spellStart"/>
      <w:r w:rsidR="0015425E">
        <w:rPr>
          <w:w w:val="110"/>
        </w:rPr>
        <w:t>d.Lgs.</w:t>
      </w:r>
      <w:proofErr w:type="spellEnd"/>
      <w:r w:rsidR="0015425E">
        <w:rPr>
          <w:w w:val="110"/>
        </w:rPr>
        <w:t xml:space="preserve"> n, 267/2000;</w:t>
      </w:r>
    </w:p>
    <w:p w:rsidR="0015425E" w:rsidRPr="0015425E" w:rsidRDefault="0015425E" w:rsidP="0015425E">
      <w:pPr>
        <w:pStyle w:val="Corpotesto"/>
        <w:numPr>
          <w:ilvl w:val="0"/>
          <w:numId w:val="38"/>
        </w:numPr>
        <w:rPr>
          <w:w w:val="110"/>
        </w:rPr>
      </w:pPr>
      <w:r w:rsidRPr="0015425E">
        <w:rPr>
          <w:w w:val="110"/>
        </w:rPr>
        <w:t xml:space="preserve">L’adozione degli schemi  di bilancio e di rendiconto per missioni e programmi di cui  agli allegati n. 9 </w:t>
      </w:r>
      <w:r>
        <w:rPr>
          <w:w w:val="110"/>
        </w:rPr>
        <w:t>e</w:t>
      </w:r>
      <w:r w:rsidRPr="0015425E">
        <w:rPr>
          <w:w w:val="110"/>
        </w:rPr>
        <w:t xml:space="preserve"> 10 al   decreto legislativo n. 118 del 2011, </w:t>
      </w:r>
      <w:r>
        <w:rPr>
          <w:w w:val="110"/>
        </w:rPr>
        <w:t>c</w:t>
      </w:r>
      <w:r w:rsidRPr="0015425E">
        <w:rPr>
          <w:w w:val="110"/>
        </w:rPr>
        <w:t>he assumono valore a tutti gli effetti giuridici</w:t>
      </w:r>
      <w:r>
        <w:rPr>
          <w:w w:val="110"/>
        </w:rPr>
        <w:t>;</w:t>
      </w:r>
      <w:r w:rsidRPr="0015425E">
        <w:rPr>
          <w:w w:val="110"/>
        </w:rPr>
        <w:t xml:space="preserve"> </w:t>
      </w:r>
    </w:p>
    <w:p w:rsidR="001B2C6B" w:rsidRDefault="0015425E" w:rsidP="0015425E">
      <w:pPr>
        <w:pStyle w:val="Corpotesto"/>
        <w:numPr>
          <w:ilvl w:val="0"/>
          <w:numId w:val="38"/>
        </w:numPr>
        <w:rPr>
          <w:w w:val="110"/>
        </w:rPr>
      </w:pPr>
      <w:r w:rsidRPr="0015425E">
        <w:rPr>
          <w:w w:val="110"/>
        </w:rPr>
        <w:t>L’</w:t>
      </w:r>
      <w:r w:rsidR="001B2C6B" w:rsidRPr="0015425E">
        <w:rPr>
          <w:w w:val="110"/>
        </w:rPr>
        <w:t xml:space="preserve">applicazione completa  della codifica della transazione   elementare a ogni atto gestionale e in particolare  a  tutti i titoli di incasso e di pagamento trasmessi al tesoriere comunale; </w:t>
      </w:r>
    </w:p>
    <w:p w:rsidR="001B2C6B" w:rsidRDefault="001B2C6B" w:rsidP="0015425E">
      <w:pPr>
        <w:pStyle w:val="Corpotesto"/>
        <w:numPr>
          <w:ilvl w:val="0"/>
          <w:numId w:val="38"/>
        </w:numPr>
        <w:rPr>
          <w:w w:val="110"/>
        </w:rPr>
      </w:pPr>
      <w:r w:rsidRPr="001B2C6B">
        <w:rPr>
          <w:w w:val="110"/>
        </w:rPr>
        <w:t xml:space="preserve">l'adozione del  piano dei conti integrato di cui all'articolo 4 e allegato n. 6 del </w:t>
      </w:r>
      <w:proofErr w:type="spellStart"/>
      <w:r w:rsidRPr="001B2C6B">
        <w:rPr>
          <w:w w:val="110"/>
        </w:rPr>
        <w:t>d.Lgs.</w:t>
      </w:r>
      <w:proofErr w:type="spellEnd"/>
      <w:r w:rsidRPr="001B2C6B">
        <w:rPr>
          <w:w w:val="110"/>
        </w:rPr>
        <w:t xml:space="preserve"> n..118/2011; </w:t>
      </w:r>
    </w:p>
    <w:p w:rsidR="001B2C6B" w:rsidRPr="001B2C6B" w:rsidRDefault="001B2C6B" w:rsidP="0015425E">
      <w:pPr>
        <w:pStyle w:val="Corpotesto"/>
        <w:numPr>
          <w:ilvl w:val="0"/>
          <w:numId w:val="38"/>
        </w:numPr>
        <w:rPr>
          <w:w w:val="110"/>
        </w:rPr>
      </w:pPr>
      <w:r w:rsidRPr="001B2C6B">
        <w:rPr>
          <w:w w:val="110"/>
        </w:rPr>
        <w:t xml:space="preserve">l'adozione della contabilità economico-patrimoniale,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C13384" w:rsidRDefault="001B2C6B" w:rsidP="001B2C6B">
      <w:pPr>
        <w:pStyle w:val="Corpotesto"/>
        <w:ind w:left="115"/>
        <w:rPr>
          <w:w w:val="110"/>
        </w:rPr>
      </w:pPr>
      <w:r w:rsidRPr="00C13384">
        <w:rPr>
          <w:w w:val="110"/>
        </w:rPr>
        <w:t xml:space="preserve">          Rilevato  invece che, per i  comuni fino  a 5.000 abitanti, in considerazione delle  maggiori difficoltà gestionali connesse  alle ridotte dimensioni, l'art. 232, c. 2, </w:t>
      </w:r>
      <w:proofErr w:type="spellStart"/>
      <w:r w:rsidRPr="00C13384">
        <w:rPr>
          <w:w w:val="110"/>
        </w:rPr>
        <w:t>D</w:t>
      </w:r>
      <w:r w:rsidR="0015425E" w:rsidRPr="00C13384">
        <w:rPr>
          <w:w w:val="110"/>
        </w:rPr>
        <w:t>l</w:t>
      </w:r>
      <w:r w:rsidRPr="00C13384">
        <w:rPr>
          <w:w w:val="110"/>
        </w:rPr>
        <w:t>gs</w:t>
      </w:r>
      <w:proofErr w:type="spellEnd"/>
      <w:r w:rsidRPr="00C13384">
        <w:rPr>
          <w:w w:val="110"/>
        </w:rPr>
        <w:t>. n. 267/2000,  come modificato  da ultimo dall'art. 57, c.  2-ter, D.L. 26 ottobre   2019, n. 124,  prevede la possibilità</w:t>
      </w:r>
      <w:r w:rsidR="00000E86" w:rsidRPr="00C13384">
        <w:rPr>
          <w:w w:val="110"/>
        </w:rPr>
        <w:t xml:space="preserve"> di tenere  la contabilità economico-patrimoniale;</w:t>
      </w:r>
      <w:r w:rsidRPr="00C13384">
        <w:rPr>
          <w:w w:val="110"/>
        </w:rPr>
        <w:t xml:space="preserve">                                                                              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Preso atto, inoltre, che </w:t>
      </w:r>
      <w:r w:rsidR="00000E86">
        <w:rPr>
          <w:w w:val="110"/>
        </w:rPr>
        <w:t>q</w:t>
      </w:r>
      <w:r w:rsidRPr="001B2C6B">
        <w:rPr>
          <w:w w:val="110"/>
        </w:rPr>
        <w:t>ual</w:t>
      </w:r>
      <w:r w:rsidR="00000E86">
        <w:rPr>
          <w:w w:val="110"/>
        </w:rPr>
        <w:t>ora</w:t>
      </w:r>
      <w:r w:rsidRPr="001B2C6B">
        <w:rPr>
          <w:w w:val="110"/>
        </w:rPr>
        <w:t xml:space="preserve"> l'ente eserciti la facoltà di c</w:t>
      </w:r>
      <w:r w:rsidR="00000E86">
        <w:rPr>
          <w:w w:val="110"/>
        </w:rPr>
        <w:t>u</w:t>
      </w:r>
      <w:r w:rsidRPr="001B2C6B">
        <w:rPr>
          <w:w w:val="110"/>
        </w:rPr>
        <w:t xml:space="preserve"> all'art. 232,</w:t>
      </w:r>
      <w:r w:rsidR="00000E86">
        <w:rPr>
          <w:w w:val="110"/>
        </w:rPr>
        <w:t>c.2</w:t>
      </w:r>
      <w:r w:rsidRPr="001B2C6B">
        <w:rPr>
          <w:w w:val="110"/>
        </w:rPr>
        <w:t xml:space="preserve">, TUÉL, lo stesso   comma   prevede    che "Gli enti locali che </w:t>
      </w:r>
      <w:r w:rsidR="00000E86">
        <w:rPr>
          <w:w w:val="110"/>
        </w:rPr>
        <w:t>optano   per la facoltà di cui a</w:t>
      </w:r>
      <w:r w:rsidRPr="001B2C6B">
        <w:rPr>
          <w:w w:val="110"/>
        </w:rPr>
        <w:t xml:space="preserve">l primo periodo  allegano al  rendiconto una situazione patrimoniale  al 31 dicembre dell'anno precedente";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Ritenuto"  opportuno,  In considerazione   delle suddette  difficoltà gesti</w:t>
      </w:r>
      <w:r w:rsidR="00000E86">
        <w:rPr>
          <w:w w:val="110"/>
        </w:rPr>
        <w:t xml:space="preserve">onali </w:t>
      </w:r>
      <w:r w:rsidRPr="001B2C6B">
        <w:rPr>
          <w:w w:val="110"/>
        </w:rPr>
        <w:t>, esercitare la facoltà  concessa</w:t>
      </w:r>
      <w:r w:rsidR="00000E86">
        <w:rPr>
          <w:w w:val="110"/>
        </w:rPr>
        <w:t xml:space="preserve"> </w:t>
      </w:r>
      <w:r w:rsidRPr="001B2C6B">
        <w:rPr>
          <w:w w:val="110"/>
        </w:rPr>
        <w:t xml:space="preserve"> dall'art. 232; c. 2 e dunque di non tenere la contabilità economico-patrimoniale;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Preso atto, in ogni  </w:t>
      </w:r>
      <w:r w:rsidR="00000E86">
        <w:rPr>
          <w:w w:val="110"/>
        </w:rPr>
        <w:t xml:space="preserve">caso </w:t>
      </w:r>
      <w:r w:rsidRPr="001B2C6B">
        <w:rPr>
          <w:w w:val="110"/>
        </w:rPr>
        <w:t xml:space="preserve">, </w:t>
      </w:r>
      <w:r w:rsidR="00000E86">
        <w:rPr>
          <w:w w:val="110"/>
        </w:rPr>
        <w:t>c</w:t>
      </w:r>
      <w:r w:rsidRPr="001B2C6B">
        <w:rPr>
          <w:w w:val="110"/>
        </w:rPr>
        <w:t>he l'ente, al Sensi del</w:t>
      </w:r>
      <w:r w:rsidR="00000E86">
        <w:rPr>
          <w:w w:val="110"/>
        </w:rPr>
        <w:t xml:space="preserve"> </w:t>
      </w:r>
      <w:r w:rsidRPr="001B2C6B">
        <w:rPr>
          <w:w w:val="110"/>
        </w:rPr>
        <w:t>art. 232, C. 2, TUEL, deve all</w:t>
      </w:r>
      <w:r w:rsidR="00000E86">
        <w:rPr>
          <w:w w:val="110"/>
        </w:rPr>
        <w:t>egare al rendiconto di gestione</w:t>
      </w:r>
      <w:r w:rsidRPr="001B2C6B">
        <w:rPr>
          <w:w w:val="110"/>
        </w:rPr>
        <w:t xml:space="preserve"> una  situazione patrimoniale al 31 dicembre  dell'anno   precedente redatta secondo lo schema  di cui  all'allegato   n.  10 al decreto legislativo 23 giugno  2011, .n. 118, </w:t>
      </w:r>
      <w:r w:rsidR="00000E86">
        <w:rPr>
          <w:w w:val="110"/>
        </w:rPr>
        <w:t>e</w:t>
      </w:r>
      <w:r w:rsidRPr="001B2C6B">
        <w:rPr>
          <w:w w:val="110"/>
        </w:rPr>
        <w:t xml:space="preserve"> con modalità  semplificate individuate ,con decreto del           Ministero   dell'economia delle finanze,  di concerto  con il Ministero dell'interno e con la  Presidenza  del Consiglio  dei ministri - Dipartimento per gli affari regionali 10 novembre 2020 (in gazzetta Ufficiale n. 296 del  25    novembre 2020);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Visto il Decreto del Ministero  dell'Economia  e delle Finanze  del 10 novembre  2020,   che testualmente recita: "La   delibera di  giunta concernente   la decisione   di </w:t>
      </w:r>
      <w:r w:rsidRPr="001B2C6B">
        <w:rPr>
          <w:w w:val="110"/>
        </w:rPr>
        <w:lastRenderedPageBreak/>
        <w:t xml:space="preserve">avvalersi della  facoltà di  non  tenere la contabilità  economico-patrimoniale   ai sensi dell'art. 232, comma 2, del   TUEL, è  trasmessa alla Banca  dati unitaria delle            amministrazioni pubbliche   (DAP) di cui all'art. 13 della legge n. 196 del 2009."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Rilevato inoltre che </w:t>
      </w:r>
      <w:r w:rsidR="00000E86">
        <w:rPr>
          <w:w w:val="110"/>
        </w:rPr>
        <w:t xml:space="preserve"> il </w:t>
      </w:r>
      <w:r w:rsidRPr="001B2C6B">
        <w:rPr>
          <w:w w:val="110"/>
        </w:rPr>
        <w:t xml:space="preserve"> suddetto   decreto dispone:   "Considerato  che gli enti che   non  tengono la contabilità</w:t>
      </w:r>
      <w:r w:rsidR="00000E86">
        <w:rPr>
          <w:w w:val="110"/>
        </w:rPr>
        <w:t xml:space="preserve"> </w:t>
      </w:r>
      <w:r w:rsidRPr="001B2C6B">
        <w:rPr>
          <w:w w:val="110"/>
        </w:rPr>
        <w:t xml:space="preserve"> economico-patrimoniale   non   possono    elaborare  il bilancio consolidato, tale delibera  rappresenta    anche       l'esercizio della facoltà di non predisporre il bilancio consolidato di cui all'art. 233-bis, comma 3, del TUEL."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Acquisiti agli atti i pareri favorevoli di regolarità tecnica e contabile, resi ai sensi dell'articolo 49 del </w:t>
      </w:r>
      <w:proofErr w:type="spellStart"/>
      <w:r w:rsidRPr="001B2C6B">
        <w:rPr>
          <w:w w:val="110"/>
        </w:rPr>
        <w:t>d.Lgs.</w:t>
      </w:r>
      <w:proofErr w:type="spellEnd"/>
      <w:r w:rsidRPr="001B2C6B">
        <w:rPr>
          <w:w w:val="110"/>
        </w:rPr>
        <w:t xml:space="preserve"> n,   267/2000;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Visto il d</w:t>
      </w:r>
      <w:r w:rsidR="00000E86">
        <w:rPr>
          <w:w w:val="110"/>
        </w:rPr>
        <w:t>.l</w:t>
      </w:r>
      <w:r w:rsidRPr="001B2C6B">
        <w:rPr>
          <w:w w:val="110"/>
        </w:rPr>
        <w:t xml:space="preserve">gs. n. 118/2011;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Visto il </w:t>
      </w:r>
      <w:proofErr w:type="spellStart"/>
      <w:r w:rsidRPr="001B2C6B">
        <w:rPr>
          <w:w w:val="110"/>
        </w:rPr>
        <w:t>d.Lgs.</w:t>
      </w:r>
      <w:proofErr w:type="spellEnd"/>
      <w:r w:rsidRPr="001B2C6B">
        <w:rPr>
          <w:w w:val="110"/>
        </w:rPr>
        <w:t xml:space="preserve"> n. 267/2000;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Visto lo Statuto Comunale;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Visto il vigente Regolamento di contabilità; </w:t>
      </w:r>
    </w:p>
    <w:p w:rsidR="001B2C6B" w:rsidRPr="001B2C6B" w:rsidRDefault="00000E86" w:rsidP="001B2C6B">
      <w:pPr>
        <w:pStyle w:val="Corpotesto"/>
        <w:ind w:left="115"/>
        <w:rPr>
          <w:w w:val="110"/>
        </w:rPr>
      </w:pPr>
      <w:r>
        <w:rPr>
          <w:w w:val="110"/>
        </w:rPr>
        <w:t xml:space="preserve">   </w:t>
      </w:r>
      <w:r w:rsidR="001B2C6B" w:rsidRPr="001B2C6B">
        <w:rPr>
          <w:w w:val="110"/>
        </w:rPr>
        <w:t xml:space="preserve">        Visto il D.M. 10 novembre   2020 ad oggetto: "Modalità  semplificate di redazione della situazione  patrimoniale degli enti</w:t>
      </w:r>
      <w:r>
        <w:rPr>
          <w:w w:val="110"/>
        </w:rPr>
        <w:t xml:space="preserve"> </w:t>
      </w:r>
      <w:r w:rsidR="001B2C6B" w:rsidRPr="001B2C6B">
        <w:rPr>
          <w:w w:val="110"/>
        </w:rPr>
        <w:t>c</w:t>
      </w:r>
      <w:r>
        <w:rPr>
          <w:w w:val="110"/>
        </w:rPr>
        <w:t>he</w:t>
      </w:r>
      <w:r w:rsidR="001B2C6B" w:rsidRPr="001B2C6B">
        <w:rPr>
          <w:w w:val="110"/>
        </w:rPr>
        <w:t xml:space="preserve"> rin</w:t>
      </w:r>
      <w:r>
        <w:rPr>
          <w:w w:val="110"/>
        </w:rPr>
        <w:t>viano</w:t>
      </w:r>
      <w:r w:rsidR="001B2C6B" w:rsidRPr="001B2C6B">
        <w:rPr>
          <w:w w:val="110"/>
        </w:rPr>
        <w:t xml:space="preserve"> la contabilità econo</w:t>
      </w:r>
      <w:r>
        <w:rPr>
          <w:w w:val="110"/>
        </w:rPr>
        <w:t>mica</w:t>
      </w:r>
      <w:r w:rsidR="001B2C6B" w:rsidRPr="001B2C6B">
        <w:rPr>
          <w:w w:val="110"/>
        </w:rPr>
        <w:t>-patri</w:t>
      </w:r>
      <w:r>
        <w:rPr>
          <w:w w:val="110"/>
        </w:rPr>
        <w:t>moniale</w:t>
      </w:r>
      <w:r w:rsidR="001B2C6B" w:rsidRPr="001B2C6B">
        <w:rPr>
          <w:w w:val="110"/>
        </w:rPr>
        <w:t xml:space="preserve">,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Cori voti </w:t>
      </w:r>
      <w:r w:rsidR="00000E86">
        <w:rPr>
          <w:w w:val="110"/>
        </w:rPr>
        <w:t xml:space="preserve">unanimi </w:t>
      </w:r>
      <w:r w:rsidRPr="001B2C6B">
        <w:rPr>
          <w:w w:val="110"/>
        </w:rPr>
        <w:t xml:space="preserve"> </w:t>
      </w:r>
    </w:p>
    <w:p w:rsid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                                                  DELIBERA </w:t>
      </w:r>
    </w:p>
    <w:p w:rsidR="00000E86" w:rsidRPr="001B2C6B" w:rsidRDefault="00000E86" w:rsidP="001B2C6B">
      <w:pPr>
        <w:pStyle w:val="Corpotesto"/>
        <w:ind w:left="115"/>
        <w:rPr>
          <w:w w:val="110"/>
        </w:rPr>
      </w:pPr>
    </w:p>
    <w:p w:rsidR="001B2C6B" w:rsidRDefault="00523746" w:rsidP="00523746">
      <w:pPr>
        <w:pStyle w:val="Corpotesto"/>
        <w:numPr>
          <w:ilvl w:val="0"/>
          <w:numId w:val="39"/>
        </w:numPr>
        <w:ind w:left="115"/>
        <w:rPr>
          <w:w w:val="110"/>
        </w:rPr>
      </w:pPr>
      <w:r w:rsidRPr="00523746">
        <w:rPr>
          <w:w w:val="110"/>
        </w:rPr>
        <w:t>di avvalersi</w:t>
      </w:r>
      <w:r w:rsidR="001B2C6B" w:rsidRPr="00523746">
        <w:rPr>
          <w:w w:val="110"/>
        </w:rPr>
        <w:t>, per le</w:t>
      </w:r>
      <w:r w:rsidRPr="00523746">
        <w:rPr>
          <w:w w:val="110"/>
        </w:rPr>
        <w:t xml:space="preserve"> motivazioni </w:t>
      </w:r>
      <w:r w:rsidR="001B2C6B" w:rsidRPr="00523746">
        <w:rPr>
          <w:w w:val="110"/>
        </w:rPr>
        <w:t xml:space="preserve"> esposte in premesse  </w:t>
      </w:r>
      <w:proofErr w:type="spellStart"/>
      <w:r w:rsidRPr="00523746">
        <w:rPr>
          <w:w w:val="110"/>
        </w:rPr>
        <w:t>ale</w:t>
      </w:r>
      <w:proofErr w:type="spellEnd"/>
      <w:r w:rsidR="001B2C6B" w:rsidRPr="00523746">
        <w:rPr>
          <w:w w:val="110"/>
        </w:rPr>
        <w:t xml:space="preserve"> quali integralmente</w:t>
      </w:r>
      <w:r w:rsidRPr="00523746">
        <w:rPr>
          <w:w w:val="110"/>
        </w:rPr>
        <w:t xml:space="preserve"> si rinvia, della facoltà</w:t>
      </w:r>
      <w:r w:rsidR="001B2C6B" w:rsidRPr="00523746">
        <w:rPr>
          <w:w w:val="110"/>
        </w:rPr>
        <w:t xml:space="preserve">  prevista dall'art. 232, comma  2, </w:t>
      </w:r>
      <w:proofErr w:type="spellStart"/>
      <w:r w:rsidR="001B2C6B" w:rsidRPr="00523746">
        <w:rPr>
          <w:w w:val="110"/>
        </w:rPr>
        <w:t>D.Lgs.</w:t>
      </w:r>
      <w:proofErr w:type="spellEnd"/>
      <w:r w:rsidR="001B2C6B" w:rsidRPr="00523746">
        <w:rPr>
          <w:w w:val="110"/>
        </w:rPr>
        <w:t xml:space="preserve"> n.  267/2000,   </w:t>
      </w:r>
      <w:r w:rsidRPr="00523746">
        <w:rPr>
          <w:w w:val="110"/>
        </w:rPr>
        <w:t>c</w:t>
      </w:r>
      <w:r w:rsidR="001B2C6B" w:rsidRPr="00523746">
        <w:rPr>
          <w:w w:val="110"/>
        </w:rPr>
        <w:t xml:space="preserve">ome  modificato da ultimo  dall'art. 57, e. 2-ter, </w:t>
      </w:r>
      <w:r>
        <w:rPr>
          <w:w w:val="110"/>
        </w:rPr>
        <w:t>D.L</w:t>
      </w:r>
      <w:r w:rsidR="001B2C6B" w:rsidRPr="00523746">
        <w:rPr>
          <w:w w:val="110"/>
        </w:rPr>
        <w:t xml:space="preserve">. 26 ottobre  2019, n. 124, che </w:t>
      </w:r>
      <w:r>
        <w:rPr>
          <w:w w:val="110"/>
        </w:rPr>
        <w:t>c</w:t>
      </w:r>
      <w:r w:rsidR="001B2C6B" w:rsidRPr="00523746">
        <w:rPr>
          <w:w w:val="110"/>
        </w:rPr>
        <w:t>onsente  agli enti con popolazione  inferiore a  5.090 abitanti di</w:t>
      </w:r>
      <w:r w:rsidR="001B2C6B" w:rsidRPr="001B2C6B">
        <w:rPr>
          <w:w w:val="110"/>
        </w:rPr>
        <w:t xml:space="preserve">  tenere  la contabilità. economico-patrimoniale; </w:t>
      </w:r>
    </w:p>
    <w:p w:rsidR="001B2C6B" w:rsidRPr="00523746" w:rsidRDefault="00523746" w:rsidP="00523746">
      <w:pPr>
        <w:pStyle w:val="Corpotesto"/>
        <w:numPr>
          <w:ilvl w:val="0"/>
          <w:numId w:val="39"/>
        </w:numPr>
        <w:ind w:left="142" w:hanging="426"/>
        <w:rPr>
          <w:w w:val="110"/>
        </w:rPr>
      </w:pPr>
      <w:r>
        <w:rPr>
          <w:w w:val="110"/>
        </w:rPr>
        <w:t xml:space="preserve">prendete atto </w:t>
      </w:r>
      <w:r w:rsidR="001B2C6B" w:rsidRPr="001B2C6B">
        <w:rPr>
          <w:w w:val="110"/>
        </w:rPr>
        <w:t>che  il</w:t>
      </w:r>
      <w:r>
        <w:rPr>
          <w:w w:val="110"/>
        </w:rPr>
        <w:t xml:space="preserve"> presente atto</w:t>
      </w:r>
      <w:r w:rsidR="001B2C6B" w:rsidRPr="001B2C6B">
        <w:rPr>
          <w:w w:val="110"/>
        </w:rPr>
        <w:t xml:space="preserve">  rappresenta anche</w:t>
      </w:r>
      <w:r>
        <w:rPr>
          <w:w w:val="110"/>
        </w:rPr>
        <w:t xml:space="preserve">  l</w:t>
      </w:r>
      <w:r w:rsidR="001B2C6B" w:rsidRPr="001B2C6B">
        <w:rPr>
          <w:w w:val="110"/>
        </w:rPr>
        <w:t>'</w:t>
      </w:r>
      <w:r>
        <w:rPr>
          <w:w w:val="110"/>
        </w:rPr>
        <w:t>esercizio della facoltà di</w:t>
      </w:r>
      <w:r w:rsidR="001B2C6B" w:rsidRPr="001B2C6B">
        <w:rPr>
          <w:w w:val="110"/>
        </w:rPr>
        <w:t xml:space="preserve"> predisporre il </w:t>
      </w:r>
      <w:r w:rsidR="001B2C6B" w:rsidRPr="00523746">
        <w:rPr>
          <w:w w:val="110"/>
        </w:rPr>
        <w:t xml:space="preserve">bilancio consolidato </w:t>
      </w:r>
      <w:r>
        <w:rPr>
          <w:w w:val="110"/>
        </w:rPr>
        <w:t>di cui all'art. 233 bis, c.</w:t>
      </w:r>
      <w:r w:rsidR="001B2C6B" w:rsidRPr="00523746">
        <w:rPr>
          <w:w w:val="110"/>
        </w:rPr>
        <w:t xml:space="preserve"> 3, TUEL, poiché gli enti </w:t>
      </w:r>
      <w:r>
        <w:rPr>
          <w:w w:val="110"/>
        </w:rPr>
        <w:t>che non tengono la contabilità e</w:t>
      </w:r>
      <w:r w:rsidR="001B2C6B" w:rsidRPr="00523746">
        <w:rPr>
          <w:w w:val="110"/>
        </w:rPr>
        <w:t xml:space="preserve">conomico-patrimoniale </w:t>
      </w:r>
      <w:r>
        <w:rPr>
          <w:w w:val="110"/>
        </w:rPr>
        <w:t xml:space="preserve">non  </w:t>
      </w:r>
      <w:r w:rsidR="001B2C6B" w:rsidRPr="00523746">
        <w:rPr>
          <w:w w:val="110"/>
        </w:rPr>
        <w:t xml:space="preserve">possono elaborare il bilancio consolidato;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AF4C88" w:rsidRDefault="001B2C6B" w:rsidP="00AF4C88">
      <w:pPr>
        <w:pStyle w:val="Corpotesto"/>
        <w:numPr>
          <w:ilvl w:val="0"/>
          <w:numId w:val="39"/>
        </w:numPr>
        <w:ind w:left="142"/>
        <w:rPr>
          <w:w w:val="110"/>
        </w:rPr>
      </w:pPr>
      <w:r w:rsidRPr="001B2C6B">
        <w:rPr>
          <w:w w:val="110"/>
        </w:rPr>
        <w:t>di dare</w:t>
      </w:r>
      <w:r w:rsidR="00523746">
        <w:rPr>
          <w:w w:val="110"/>
        </w:rPr>
        <w:t xml:space="preserve">, ogni </w:t>
      </w:r>
      <w:r w:rsidRPr="001B2C6B">
        <w:rPr>
          <w:w w:val="110"/>
        </w:rPr>
        <w:t>caso</w:t>
      </w:r>
      <w:r w:rsidR="00523746">
        <w:rPr>
          <w:w w:val="110"/>
        </w:rPr>
        <w:t>,</w:t>
      </w:r>
      <w:r w:rsidRPr="001B2C6B">
        <w:rPr>
          <w:w w:val="110"/>
        </w:rPr>
        <w:t xml:space="preserve">  </w:t>
      </w:r>
      <w:r w:rsidR="00523746">
        <w:rPr>
          <w:w w:val="110"/>
        </w:rPr>
        <w:t xml:space="preserve">che l’ente allegherà </w:t>
      </w:r>
      <w:r w:rsidRPr="001B2C6B">
        <w:rPr>
          <w:w w:val="110"/>
        </w:rPr>
        <w:t xml:space="preserve"> al rendiconto  di gestione una  </w:t>
      </w:r>
      <w:r w:rsidR="00523746">
        <w:rPr>
          <w:w w:val="110"/>
        </w:rPr>
        <w:t>situazione patrimoniale, al 31 dicembre  dell’</w:t>
      </w:r>
      <w:r w:rsidRPr="00523746">
        <w:rPr>
          <w:w w:val="110"/>
        </w:rPr>
        <w:t>anno    precedente  redatta   secondo lo schema di</w:t>
      </w:r>
      <w:r w:rsidR="00523746">
        <w:rPr>
          <w:w w:val="110"/>
        </w:rPr>
        <w:t xml:space="preserve"> cui all'allegato n.</w:t>
      </w:r>
      <w:r w:rsidRPr="00523746">
        <w:rPr>
          <w:w w:val="110"/>
        </w:rPr>
        <w:t xml:space="preserve">10  al decreto </w:t>
      </w:r>
      <w:r w:rsidR="00523746">
        <w:rPr>
          <w:w w:val="110"/>
        </w:rPr>
        <w:t>legislativo 23 giugno 2011</w:t>
      </w:r>
      <w:r w:rsidRPr="00523746">
        <w:rPr>
          <w:w w:val="110"/>
        </w:rPr>
        <w:t>,</w:t>
      </w:r>
      <w:r w:rsidR="00523746">
        <w:rPr>
          <w:w w:val="110"/>
        </w:rPr>
        <w:t>118, e  con le  modalità semplificate individuate con decreto del Ministero dell’economia</w:t>
      </w:r>
      <w:r w:rsidRPr="00523746">
        <w:rPr>
          <w:w w:val="110"/>
        </w:rPr>
        <w:t xml:space="preserve">  </w:t>
      </w:r>
      <w:r w:rsidR="00523746">
        <w:rPr>
          <w:w w:val="110"/>
        </w:rPr>
        <w:t>e</w:t>
      </w:r>
      <w:r w:rsidRPr="00523746">
        <w:rPr>
          <w:w w:val="110"/>
        </w:rPr>
        <w:t xml:space="preserve"> delle finanze</w:t>
      </w:r>
      <w:r w:rsidR="00523746">
        <w:rPr>
          <w:w w:val="110"/>
        </w:rPr>
        <w:t>, di c</w:t>
      </w:r>
      <w:r w:rsidRPr="00523746">
        <w:rPr>
          <w:w w:val="110"/>
        </w:rPr>
        <w:t xml:space="preserve">oncerto  con il Ministero dell'interno e con la  Presidenza </w:t>
      </w:r>
      <w:r w:rsidR="00523746">
        <w:rPr>
          <w:w w:val="110"/>
        </w:rPr>
        <w:t>del Consiglio dei ministri -</w:t>
      </w:r>
      <w:r w:rsidRPr="00523746">
        <w:rPr>
          <w:w w:val="110"/>
        </w:rPr>
        <w:t xml:space="preserve">Dipartimento per  gli </w:t>
      </w:r>
      <w:r w:rsidR="00523746">
        <w:rPr>
          <w:w w:val="110"/>
        </w:rPr>
        <w:t>affari regionali 10</w:t>
      </w:r>
      <w:r w:rsidRPr="00523746">
        <w:rPr>
          <w:w w:val="110"/>
        </w:rPr>
        <w:t xml:space="preserve"> novembre 2</w:t>
      </w:r>
      <w:r w:rsidR="00523746">
        <w:rPr>
          <w:w w:val="110"/>
        </w:rPr>
        <w:t>0</w:t>
      </w:r>
      <w:r w:rsidRPr="00523746">
        <w:rPr>
          <w:w w:val="110"/>
        </w:rPr>
        <w:t>2O  (in</w:t>
      </w:r>
      <w:r w:rsidR="00523746">
        <w:rPr>
          <w:w w:val="110"/>
        </w:rPr>
        <w:t xml:space="preserve"> Gazzetta</w:t>
      </w:r>
      <w:r w:rsidRPr="00523746">
        <w:rPr>
          <w:w w:val="110"/>
        </w:rPr>
        <w:t xml:space="preserve"> </w:t>
      </w:r>
      <w:r w:rsidR="00523746" w:rsidRPr="00523746">
        <w:rPr>
          <w:w w:val="110"/>
        </w:rPr>
        <w:t>U</w:t>
      </w:r>
      <w:r w:rsidR="00AF4C88">
        <w:rPr>
          <w:w w:val="110"/>
        </w:rPr>
        <w:t>fficiale n.</w:t>
      </w:r>
      <w:r w:rsidRPr="00523746">
        <w:rPr>
          <w:w w:val="110"/>
        </w:rPr>
        <w:t xml:space="preserve">293 </w:t>
      </w:r>
      <w:r w:rsidR="00AF4C88">
        <w:rPr>
          <w:w w:val="110"/>
        </w:rPr>
        <w:t>del 25 Novembre 2020);</w:t>
      </w:r>
    </w:p>
    <w:p w:rsidR="00AF4C88" w:rsidRDefault="00AF4C88" w:rsidP="00AF4C88">
      <w:pPr>
        <w:pStyle w:val="Corpotesto"/>
        <w:ind w:left="142"/>
        <w:rPr>
          <w:w w:val="110"/>
        </w:rPr>
      </w:pPr>
    </w:p>
    <w:p w:rsidR="00AF4C88" w:rsidRDefault="00AF4C88" w:rsidP="00AF4C88">
      <w:pPr>
        <w:pStyle w:val="Corpotesto"/>
        <w:numPr>
          <w:ilvl w:val="0"/>
          <w:numId w:val="39"/>
        </w:numPr>
        <w:ind w:left="142"/>
        <w:rPr>
          <w:w w:val="110"/>
        </w:rPr>
      </w:pPr>
      <w:r>
        <w:rPr>
          <w:w w:val="110"/>
        </w:rPr>
        <w:t xml:space="preserve"> di </w:t>
      </w:r>
      <w:r w:rsidR="001B2C6B" w:rsidRPr="00AF4C88">
        <w:rPr>
          <w:w w:val="110"/>
        </w:rPr>
        <w:t>tra</w:t>
      </w:r>
      <w:r>
        <w:rPr>
          <w:w w:val="110"/>
        </w:rPr>
        <w:t>smettere il presente provvedimento:</w:t>
      </w:r>
    </w:p>
    <w:p w:rsidR="001B2C6B" w:rsidRDefault="00AF4C88" w:rsidP="00AF4C88">
      <w:pPr>
        <w:pStyle w:val="Corpotesto"/>
        <w:numPr>
          <w:ilvl w:val="0"/>
          <w:numId w:val="40"/>
        </w:numPr>
        <w:rPr>
          <w:w w:val="110"/>
        </w:rPr>
      </w:pPr>
      <w:r>
        <w:rPr>
          <w:w w:val="110"/>
        </w:rPr>
        <w:t xml:space="preserve">a </w:t>
      </w:r>
      <w:r w:rsidR="001B2C6B" w:rsidRPr="00AF4C88">
        <w:rPr>
          <w:w w:val="110"/>
        </w:rPr>
        <w:t xml:space="preserve">tutti i responsabili di servizio; </w:t>
      </w:r>
    </w:p>
    <w:p w:rsidR="001B2C6B" w:rsidRPr="00AF4C88" w:rsidRDefault="001B2C6B" w:rsidP="00AF4C88">
      <w:pPr>
        <w:pStyle w:val="Corpotesto"/>
        <w:numPr>
          <w:ilvl w:val="0"/>
          <w:numId w:val="40"/>
        </w:numPr>
        <w:rPr>
          <w:w w:val="110"/>
        </w:rPr>
      </w:pPr>
      <w:r w:rsidRPr="00AF4C88">
        <w:rPr>
          <w:w w:val="110"/>
        </w:rPr>
        <w:t>all'o</w:t>
      </w:r>
      <w:r w:rsidR="00AF4C88">
        <w:rPr>
          <w:w w:val="110"/>
        </w:rPr>
        <w:t>rgano di revisione economico-finanziaria;</w:t>
      </w:r>
    </w:p>
    <w:p w:rsidR="001B2C6B" w:rsidRPr="001B2C6B" w:rsidRDefault="00AF4C88" w:rsidP="00AF4C88">
      <w:pPr>
        <w:pStyle w:val="Corpotesto"/>
        <w:numPr>
          <w:ilvl w:val="0"/>
          <w:numId w:val="40"/>
        </w:numPr>
        <w:rPr>
          <w:w w:val="110"/>
        </w:rPr>
      </w:pPr>
      <w:r>
        <w:rPr>
          <w:w w:val="110"/>
        </w:rPr>
        <w:t>alla   BDAP</w:t>
      </w:r>
      <w:r w:rsidR="001B2C6B" w:rsidRPr="001B2C6B">
        <w:rPr>
          <w:w w:val="110"/>
        </w:rPr>
        <w:t xml:space="preserve">; </w:t>
      </w:r>
    </w:p>
    <w:p w:rsidR="001B2C6B" w:rsidRPr="001B2C6B" w:rsidRDefault="001B2C6B" w:rsidP="001B2C6B">
      <w:pPr>
        <w:pStyle w:val="Corpotesto"/>
        <w:ind w:left="115"/>
        <w:rPr>
          <w:w w:val="110"/>
        </w:rPr>
      </w:pPr>
    </w:p>
    <w:p w:rsidR="001B2C6B" w:rsidRDefault="001B2C6B" w:rsidP="00AF4C88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</w:t>
      </w:r>
      <w:r w:rsidR="00AF4C88">
        <w:rPr>
          <w:w w:val="110"/>
        </w:rPr>
        <w:t xml:space="preserve">Infine, la Giunta Comunale, con separata </w:t>
      </w:r>
      <w:r w:rsidRPr="001B2C6B">
        <w:rPr>
          <w:w w:val="110"/>
        </w:rPr>
        <w:t>votazione,</w:t>
      </w:r>
      <w:r w:rsidR="00AF4C88">
        <w:rPr>
          <w:w w:val="110"/>
        </w:rPr>
        <w:t xml:space="preserve"> </w:t>
      </w:r>
      <w:r w:rsidRPr="001B2C6B">
        <w:rPr>
          <w:w w:val="110"/>
        </w:rPr>
        <w:t>espre</w:t>
      </w:r>
      <w:r w:rsidR="00AF4C88">
        <w:rPr>
          <w:w w:val="110"/>
        </w:rPr>
        <w:t>ssa nei termini che seguono</w:t>
      </w:r>
    </w:p>
    <w:p w:rsidR="00AF4C88" w:rsidRPr="001B2C6B" w:rsidRDefault="00AF4C88" w:rsidP="00AF4C88">
      <w:pPr>
        <w:pStyle w:val="Corpotesto"/>
        <w:ind w:left="115"/>
        <w:rPr>
          <w:w w:val="110"/>
        </w:rPr>
      </w:pPr>
    </w:p>
    <w:p w:rsidR="001B2C6B" w:rsidRPr="001B2C6B" w:rsidRDefault="001B2C6B" w:rsidP="001B2C6B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                                                  </w:t>
      </w:r>
      <w:r w:rsidR="00AF4C88">
        <w:rPr>
          <w:w w:val="110"/>
        </w:rPr>
        <w:t>D</w:t>
      </w:r>
      <w:r w:rsidRPr="001B2C6B">
        <w:rPr>
          <w:w w:val="110"/>
        </w:rPr>
        <w:t xml:space="preserve">ELIBERA </w:t>
      </w:r>
    </w:p>
    <w:p w:rsidR="001B2C6B" w:rsidRDefault="001B2C6B" w:rsidP="00AF4C88">
      <w:pPr>
        <w:pStyle w:val="Corpotesto"/>
        <w:ind w:left="115"/>
        <w:rPr>
          <w:w w:val="110"/>
        </w:rPr>
      </w:pPr>
      <w:r w:rsidRPr="001B2C6B">
        <w:rPr>
          <w:w w:val="110"/>
        </w:rPr>
        <w:t xml:space="preserve">           </w:t>
      </w:r>
      <w:r w:rsidR="00AF4C88">
        <w:rPr>
          <w:w w:val="110"/>
        </w:rPr>
        <w:t>di dichiarar</w:t>
      </w:r>
      <w:r w:rsidRPr="001B2C6B">
        <w:rPr>
          <w:w w:val="110"/>
        </w:rPr>
        <w:t xml:space="preserve">e </w:t>
      </w:r>
      <w:r w:rsidR="00AF4C88">
        <w:rPr>
          <w:w w:val="110"/>
        </w:rPr>
        <w:t xml:space="preserve"> </w:t>
      </w:r>
      <w:r w:rsidRPr="001B2C6B">
        <w:rPr>
          <w:w w:val="110"/>
        </w:rPr>
        <w:t>il presente</w:t>
      </w:r>
      <w:r w:rsidR="00AF4C88">
        <w:rPr>
          <w:w w:val="110"/>
        </w:rPr>
        <w:t xml:space="preserve">   provvedimento  immediatament</w:t>
      </w:r>
      <w:r w:rsidR="00EE26BF">
        <w:rPr>
          <w:w w:val="110"/>
        </w:rPr>
        <w:t xml:space="preserve">e </w:t>
      </w:r>
      <w:r w:rsidRPr="001B2C6B">
        <w:rPr>
          <w:w w:val="110"/>
        </w:rPr>
        <w:t xml:space="preserve">  </w:t>
      </w:r>
      <w:r w:rsidR="00AF4C88">
        <w:rPr>
          <w:w w:val="110"/>
        </w:rPr>
        <w:t>eseguibile, ai  sensi dell’</w:t>
      </w:r>
      <w:r w:rsidRPr="001B2C6B">
        <w:rPr>
          <w:w w:val="110"/>
        </w:rPr>
        <w:t xml:space="preserve">art  134, </w:t>
      </w:r>
      <w:r w:rsidR="00AF4C88">
        <w:rPr>
          <w:w w:val="110"/>
        </w:rPr>
        <w:t>comma , del D.lgs. n.267/2000.</w:t>
      </w: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 xml:space="preserve">     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E9154C">
        <w:rPr>
          <w:rFonts w:ascii="Arial" w:hAnsi="Arial" w:cs="Arial"/>
          <w:szCs w:val="24"/>
        </w:rPr>
        <w:t>F.to</w:t>
      </w:r>
      <w:r w:rsidR="00E9154C" w:rsidRPr="0095650F">
        <w:rPr>
          <w:rFonts w:ascii="Arial" w:hAnsi="Arial" w:cs="Arial"/>
          <w:szCs w:val="24"/>
        </w:rPr>
        <w:t xml:space="preserve">  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>Antonio Mercuri</w:t>
      </w:r>
      <w:r w:rsidRPr="0095650F">
        <w:rPr>
          <w:rFonts w:ascii="Arial" w:hAnsi="Arial" w:cs="Arial"/>
          <w:sz w:val="24"/>
          <w:szCs w:val="24"/>
        </w:rPr>
        <w:t xml:space="preserve">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F1861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E34D95">
        <w:rPr>
          <w:rFonts w:ascii="Arial" w:hAnsi="Arial" w:cs="Arial"/>
          <w:snapToGrid w:val="0"/>
          <w:sz w:val="24"/>
          <w:szCs w:val="24"/>
        </w:rPr>
        <w:t>16</w:t>
      </w:r>
      <w:r w:rsidR="00AE606F">
        <w:rPr>
          <w:rFonts w:ascii="Arial" w:hAnsi="Arial" w:cs="Arial"/>
          <w:snapToGrid w:val="0"/>
          <w:sz w:val="24"/>
          <w:szCs w:val="24"/>
        </w:rPr>
        <w:t>/0</w:t>
      </w:r>
      <w:r w:rsidR="00E34D95">
        <w:rPr>
          <w:rFonts w:ascii="Arial" w:hAnsi="Arial" w:cs="Arial"/>
          <w:snapToGrid w:val="0"/>
          <w:sz w:val="24"/>
          <w:szCs w:val="24"/>
        </w:rPr>
        <w:t>4</w:t>
      </w:r>
      <w:r w:rsidR="00AE606F">
        <w:rPr>
          <w:rFonts w:ascii="Arial" w:hAnsi="Arial" w:cs="Arial"/>
          <w:snapToGrid w:val="0"/>
          <w:sz w:val="24"/>
          <w:szCs w:val="24"/>
        </w:rPr>
        <w:t>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EE26BF">
        <w:rPr>
          <w:rFonts w:ascii="Arial" w:hAnsi="Arial" w:cs="Arial"/>
          <w:snapToGrid w:val="0"/>
          <w:sz w:val="24"/>
          <w:szCs w:val="24"/>
        </w:rPr>
        <w:t>11/06/2021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</w:t>
      </w:r>
      <w:r w:rsidR="00E9154C">
        <w:rPr>
          <w:rFonts w:ascii="Arial" w:hAnsi="Arial" w:cs="Arial"/>
          <w:szCs w:val="24"/>
        </w:rPr>
        <w:t>F.to</w:t>
      </w:r>
      <w:r w:rsidR="00E9154C" w:rsidRPr="0095650F">
        <w:rPr>
          <w:rFonts w:ascii="Arial" w:hAnsi="Arial" w:cs="Arial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</w:t>
      </w:r>
      <w:r w:rsidR="00EE26BF">
        <w:rPr>
          <w:rFonts w:ascii="Arial" w:hAnsi="Arial" w:cs="Arial"/>
          <w:snapToGrid w:val="0"/>
          <w:sz w:val="24"/>
          <w:szCs w:val="24"/>
        </w:rPr>
        <w:t>11/06/2021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E9154C">
        <w:rPr>
          <w:rFonts w:ascii="Arial" w:hAnsi="Arial" w:cs="Arial"/>
          <w:szCs w:val="24"/>
        </w:rPr>
        <w:t>F.to</w:t>
      </w:r>
      <w:r w:rsidR="00E9154C" w:rsidRPr="0095650F">
        <w:rPr>
          <w:rFonts w:ascii="Arial" w:hAnsi="Arial" w:cs="Arial"/>
          <w:szCs w:val="24"/>
        </w:rPr>
        <w:t xml:space="preserve">  </w:t>
      </w:r>
      <w:bookmarkStart w:id="2" w:name="_GoBack"/>
      <w:bookmarkEnd w:id="2"/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2F1861"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E9154C">
        <w:rPr>
          <w:rFonts w:ascii="Arial" w:hAnsi="Arial" w:cs="Arial"/>
          <w:szCs w:val="24"/>
        </w:rPr>
        <w:t>F.to</w:t>
      </w:r>
      <w:r w:rsidR="00E9154C" w:rsidRPr="0095650F">
        <w:rPr>
          <w:rFonts w:ascii="Arial" w:hAnsi="Arial" w:cs="Arial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578A9"/>
    <w:multiLevelType w:val="hybridMultilevel"/>
    <w:tmpl w:val="5F1E9B4C"/>
    <w:lvl w:ilvl="0" w:tplc="37A05FF0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ECA38E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2867E0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22C44190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B2C84EB8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6E24FCCE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02EC5EE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3DC2CAA4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E3241EE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5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715A4"/>
    <w:multiLevelType w:val="hybridMultilevel"/>
    <w:tmpl w:val="6BA0456E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294752A"/>
    <w:multiLevelType w:val="hybridMultilevel"/>
    <w:tmpl w:val="583A1EFE"/>
    <w:lvl w:ilvl="0" w:tplc="0410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1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1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C56CC"/>
    <w:multiLevelType w:val="hybridMultilevel"/>
    <w:tmpl w:val="4BA206BA"/>
    <w:lvl w:ilvl="0" w:tplc="04100011">
      <w:start w:val="1"/>
      <w:numFmt w:val="decimal"/>
      <w:lvlText w:val="%1)"/>
      <w:lvlJc w:val="left"/>
      <w:pPr>
        <w:ind w:left="2089" w:hanging="360"/>
      </w:pPr>
    </w:lvl>
    <w:lvl w:ilvl="1" w:tplc="04100019" w:tentative="1">
      <w:start w:val="1"/>
      <w:numFmt w:val="lowerLetter"/>
      <w:lvlText w:val="%2."/>
      <w:lvlJc w:val="left"/>
      <w:pPr>
        <w:ind w:left="2809" w:hanging="360"/>
      </w:pPr>
    </w:lvl>
    <w:lvl w:ilvl="2" w:tplc="0410001B" w:tentative="1">
      <w:start w:val="1"/>
      <w:numFmt w:val="lowerRoman"/>
      <w:lvlText w:val="%3."/>
      <w:lvlJc w:val="right"/>
      <w:pPr>
        <w:ind w:left="3529" w:hanging="180"/>
      </w:pPr>
    </w:lvl>
    <w:lvl w:ilvl="3" w:tplc="0410000F" w:tentative="1">
      <w:start w:val="1"/>
      <w:numFmt w:val="decimal"/>
      <w:lvlText w:val="%4."/>
      <w:lvlJc w:val="left"/>
      <w:pPr>
        <w:ind w:left="4249" w:hanging="360"/>
      </w:pPr>
    </w:lvl>
    <w:lvl w:ilvl="4" w:tplc="04100019" w:tentative="1">
      <w:start w:val="1"/>
      <w:numFmt w:val="lowerLetter"/>
      <w:lvlText w:val="%5."/>
      <w:lvlJc w:val="left"/>
      <w:pPr>
        <w:ind w:left="4969" w:hanging="360"/>
      </w:pPr>
    </w:lvl>
    <w:lvl w:ilvl="5" w:tplc="0410001B" w:tentative="1">
      <w:start w:val="1"/>
      <w:numFmt w:val="lowerRoman"/>
      <w:lvlText w:val="%6."/>
      <w:lvlJc w:val="right"/>
      <w:pPr>
        <w:ind w:left="5689" w:hanging="180"/>
      </w:pPr>
    </w:lvl>
    <w:lvl w:ilvl="6" w:tplc="0410000F" w:tentative="1">
      <w:start w:val="1"/>
      <w:numFmt w:val="decimal"/>
      <w:lvlText w:val="%7."/>
      <w:lvlJc w:val="left"/>
      <w:pPr>
        <w:ind w:left="6409" w:hanging="360"/>
      </w:pPr>
    </w:lvl>
    <w:lvl w:ilvl="7" w:tplc="04100019" w:tentative="1">
      <w:start w:val="1"/>
      <w:numFmt w:val="lowerLetter"/>
      <w:lvlText w:val="%8."/>
      <w:lvlJc w:val="left"/>
      <w:pPr>
        <w:ind w:left="7129" w:hanging="360"/>
      </w:pPr>
    </w:lvl>
    <w:lvl w:ilvl="8" w:tplc="0410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1">
    <w:nsid w:val="6AB27A18"/>
    <w:multiLevelType w:val="hybridMultilevel"/>
    <w:tmpl w:val="7A465F46"/>
    <w:lvl w:ilvl="0" w:tplc="59F8197E">
      <w:start w:val="1"/>
      <w:numFmt w:val="decimal"/>
      <w:lvlText w:val="%1)"/>
      <w:lvlJc w:val="left"/>
      <w:pPr>
        <w:ind w:left="681" w:hanging="567"/>
      </w:pPr>
      <w:rPr>
        <w:rFonts w:ascii="Cambria" w:eastAsia="Cambria" w:hAnsi="Cambria" w:cs="Cambria" w:hint="default"/>
        <w:w w:val="87"/>
        <w:sz w:val="24"/>
        <w:szCs w:val="24"/>
        <w:lang w:val="it-IT" w:eastAsia="en-US" w:bidi="ar-SA"/>
      </w:rPr>
    </w:lvl>
    <w:lvl w:ilvl="1" w:tplc="6F601554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8B30206A">
      <w:numFmt w:val="bullet"/>
      <w:lvlText w:val="•"/>
      <w:lvlJc w:val="left"/>
      <w:pPr>
        <w:ind w:left="2516" w:hanging="567"/>
      </w:pPr>
      <w:rPr>
        <w:rFonts w:hint="default"/>
        <w:lang w:val="it-IT" w:eastAsia="en-US" w:bidi="ar-SA"/>
      </w:rPr>
    </w:lvl>
    <w:lvl w:ilvl="3" w:tplc="E24E86CE">
      <w:numFmt w:val="bullet"/>
      <w:lvlText w:val="•"/>
      <w:lvlJc w:val="left"/>
      <w:pPr>
        <w:ind w:left="3434" w:hanging="567"/>
      </w:pPr>
      <w:rPr>
        <w:rFonts w:hint="default"/>
        <w:lang w:val="it-IT" w:eastAsia="en-US" w:bidi="ar-SA"/>
      </w:rPr>
    </w:lvl>
    <w:lvl w:ilvl="4" w:tplc="02782856">
      <w:numFmt w:val="bullet"/>
      <w:lvlText w:val="•"/>
      <w:lvlJc w:val="left"/>
      <w:pPr>
        <w:ind w:left="4352" w:hanging="567"/>
      </w:pPr>
      <w:rPr>
        <w:rFonts w:hint="default"/>
        <w:lang w:val="it-IT" w:eastAsia="en-US" w:bidi="ar-SA"/>
      </w:rPr>
    </w:lvl>
    <w:lvl w:ilvl="5" w:tplc="EA94F8C0">
      <w:numFmt w:val="bullet"/>
      <w:lvlText w:val="•"/>
      <w:lvlJc w:val="left"/>
      <w:pPr>
        <w:ind w:left="5270" w:hanging="567"/>
      </w:pPr>
      <w:rPr>
        <w:rFonts w:hint="default"/>
        <w:lang w:val="it-IT" w:eastAsia="en-US" w:bidi="ar-SA"/>
      </w:rPr>
    </w:lvl>
    <w:lvl w:ilvl="6" w:tplc="6A0A583C">
      <w:numFmt w:val="bullet"/>
      <w:lvlText w:val="•"/>
      <w:lvlJc w:val="left"/>
      <w:pPr>
        <w:ind w:left="6188" w:hanging="567"/>
      </w:pPr>
      <w:rPr>
        <w:rFonts w:hint="default"/>
        <w:lang w:val="it-IT" w:eastAsia="en-US" w:bidi="ar-SA"/>
      </w:rPr>
    </w:lvl>
    <w:lvl w:ilvl="7" w:tplc="881408AA">
      <w:numFmt w:val="bullet"/>
      <w:lvlText w:val="•"/>
      <w:lvlJc w:val="left"/>
      <w:pPr>
        <w:ind w:left="7106" w:hanging="567"/>
      </w:pPr>
      <w:rPr>
        <w:rFonts w:hint="default"/>
        <w:lang w:val="it-IT" w:eastAsia="en-US" w:bidi="ar-SA"/>
      </w:rPr>
    </w:lvl>
    <w:lvl w:ilvl="8" w:tplc="D5A48328">
      <w:numFmt w:val="bullet"/>
      <w:lvlText w:val="•"/>
      <w:lvlJc w:val="left"/>
      <w:pPr>
        <w:ind w:left="8024" w:hanging="567"/>
      </w:pPr>
      <w:rPr>
        <w:rFonts w:hint="default"/>
        <w:lang w:val="it-IT" w:eastAsia="en-US" w:bidi="ar-SA"/>
      </w:rPr>
    </w:lvl>
  </w:abstractNum>
  <w:abstractNum w:abstractNumId="32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9"/>
  </w:num>
  <w:num w:numId="5">
    <w:abstractNumId w:val="39"/>
  </w:num>
  <w:num w:numId="6">
    <w:abstractNumId w:val="13"/>
  </w:num>
  <w:num w:numId="7">
    <w:abstractNumId w:val="0"/>
  </w:num>
  <w:num w:numId="8">
    <w:abstractNumId w:val="28"/>
  </w:num>
  <w:num w:numId="9">
    <w:abstractNumId w:val="23"/>
  </w:num>
  <w:num w:numId="10">
    <w:abstractNumId w:val="16"/>
  </w:num>
  <w:num w:numId="11">
    <w:abstractNumId w:val="24"/>
  </w:num>
  <w:num w:numId="12">
    <w:abstractNumId w:val="35"/>
  </w:num>
  <w:num w:numId="13">
    <w:abstractNumId w:val="34"/>
  </w:num>
  <w:num w:numId="14">
    <w:abstractNumId w:val="33"/>
  </w:num>
  <w:num w:numId="15">
    <w:abstractNumId w:val="29"/>
  </w:num>
  <w:num w:numId="16">
    <w:abstractNumId w:val="8"/>
  </w:num>
  <w:num w:numId="17">
    <w:abstractNumId w:val="37"/>
  </w:num>
  <w:num w:numId="18">
    <w:abstractNumId w:val="11"/>
  </w:num>
  <w:num w:numId="19">
    <w:abstractNumId w:val="12"/>
  </w:num>
  <w:num w:numId="20">
    <w:abstractNumId w:val="32"/>
  </w:num>
  <w:num w:numId="21">
    <w:abstractNumId w:val="36"/>
  </w:num>
  <w:num w:numId="22">
    <w:abstractNumId w:val="3"/>
  </w:num>
  <w:num w:numId="23">
    <w:abstractNumId w:val="9"/>
  </w:num>
  <w:num w:numId="24">
    <w:abstractNumId w:val="15"/>
  </w:num>
  <w:num w:numId="25">
    <w:abstractNumId w:val="18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10"/>
  </w:num>
  <w:num w:numId="31">
    <w:abstractNumId w:val="20"/>
  </w:num>
  <w:num w:numId="32">
    <w:abstractNumId w:val="1"/>
  </w:num>
  <w:num w:numId="33">
    <w:abstractNumId w:val="2"/>
  </w:num>
  <w:num w:numId="34">
    <w:abstractNumId w:val="14"/>
  </w:num>
  <w:num w:numId="35">
    <w:abstractNumId w:val="5"/>
  </w:num>
  <w:num w:numId="36">
    <w:abstractNumId w:val="31"/>
  </w:num>
  <w:num w:numId="37">
    <w:abstractNumId w:val="4"/>
  </w:num>
  <w:num w:numId="38">
    <w:abstractNumId w:val="7"/>
  </w:num>
  <w:num w:numId="39">
    <w:abstractNumId w:val="3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0E86"/>
    <w:rsid w:val="00002188"/>
    <w:rsid w:val="00012590"/>
    <w:rsid w:val="0001296A"/>
    <w:rsid w:val="00032651"/>
    <w:rsid w:val="000406A6"/>
    <w:rsid w:val="00040FBC"/>
    <w:rsid w:val="00057816"/>
    <w:rsid w:val="00057A04"/>
    <w:rsid w:val="000637CB"/>
    <w:rsid w:val="000816D8"/>
    <w:rsid w:val="00082651"/>
    <w:rsid w:val="000857DA"/>
    <w:rsid w:val="000929D6"/>
    <w:rsid w:val="000A4010"/>
    <w:rsid w:val="000E0037"/>
    <w:rsid w:val="000E236B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45267"/>
    <w:rsid w:val="0015425E"/>
    <w:rsid w:val="001602F2"/>
    <w:rsid w:val="00173CEE"/>
    <w:rsid w:val="001967AF"/>
    <w:rsid w:val="001A44C1"/>
    <w:rsid w:val="001B138F"/>
    <w:rsid w:val="001B2C6B"/>
    <w:rsid w:val="001B7360"/>
    <w:rsid w:val="001B7E9D"/>
    <w:rsid w:val="001E1956"/>
    <w:rsid w:val="001E3971"/>
    <w:rsid w:val="001F6E7C"/>
    <w:rsid w:val="00207CA6"/>
    <w:rsid w:val="00212C8D"/>
    <w:rsid w:val="002168D8"/>
    <w:rsid w:val="0022097C"/>
    <w:rsid w:val="00221786"/>
    <w:rsid w:val="00231D0B"/>
    <w:rsid w:val="002404CF"/>
    <w:rsid w:val="00253246"/>
    <w:rsid w:val="002615F3"/>
    <w:rsid w:val="002700A2"/>
    <w:rsid w:val="00272D9F"/>
    <w:rsid w:val="00284F93"/>
    <w:rsid w:val="00285BC1"/>
    <w:rsid w:val="00297F97"/>
    <w:rsid w:val="002A3E46"/>
    <w:rsid w:val="002B760D"/>
    <w:rsid w:val="002B76FF"/>
    <w:rsid w:val="002C08E9"/>
    <w:rsid w:val="002C5AE1"/>
    <w:rsid w:val="002D5830"/>
    <w:rsid w:val="002E4032"/>
    <w:rsid w:val="002F1861"/>
    <w:rsid w:val="002F1F32"/>
    <w:rsid w:val="002F246A"/>
    <w:rsid w:val="002F27A4"/>
    <w:rsid w:val="002F5C38"/>
    <w:rsid w:val="002F749E"/>
    <w:rsid w:val="003010C1"/>
    <w:rsid w:val="00312DEF"/>
    <w:rsid w:val="00316C31"/>
    <w:rsid w:val="00333165"/>
    <w:rsid w:val="0034116C"/>
    <w:rsid w:val="003555C1"/>
    <w:rsid w:val="003565EB"/>
    <w:rsid w:val="00360AFA"/>
    <w:rsid w:val="00362FD6"/>
    <w:rsid w:val="00363862"/>
    <w:rsid w:val="00372495"/>
    <w:rsid w:val="00375629"/>
    <w:rsid w:val="003800AD"/>
    <w:rsid w:val="00383F2F"/>
    <w:rsid w:val="0038658A"/>
    <w:rsid w:val="0038688D"/>
    <w:rsid w:val="00387B5F"/>
    <w:rsid w:val="00387EF4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71D0"/>
    <w:rsid w:val="00432C58"/>
    <w:rsid w:val="00432D2D"/>
    <w:rsid w:val="00452F27"/>
    <w:rsid w:val="0045407E"/>
    <w:rsid w:val="004627EA"/>
    <w:rsid w:val="00463D87"/>
    <w:rsid w:val="0047206B"/>
    <w:rsid w:val="00477493"/>
    <w:rsid w:val="00481E12"/>
    <w:rsid w:val="00487431"/>
    <w:rsid w:val="004A6490"/>
    <w:rsid w:val="004B17DC"/>
    <w:rsid w:val="004C4730"/>
    <w:rsid w:val="00506DC2"/>
    <w:rsid w:val="005123A4"/>
    <w:rsid w:val="00523746"/>
    <w:rsid w:val="00545187"/>
    <w:rsid w:val="00584CE9"/>
    <w:rsid w:val="00592326"/>
    <w:rsid w:val="005B2A55"/>
    <w:rsid w:val="005B661F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512E6"/>
    <w:rsid w:val="00660C1F"/>
    <w:rsid w:val="00661393"/>
    <w:rsid w:val="00666D37"/>
    <w:rsid w:val="0067007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722B18"/>
    <w:rsid w:val="00737574"/>
    <w:rsid w:val="00752446"/>
    <w:rsid w:val="007614C9"/>
    <w:rsid w:val="00771858"/>
    <w:rsid w:val="0077214D"/>
    <w:rsid w:val="00773E79"/>
    <w:rsid w:val="00774165"/>
    <w:rsid w:val="00774E05"/>
    <w:rsid w:val="007950B1"/>
    <w:rsid w:val="007971DA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51EE"/>
    <w:rsid w:val="00840AB1"/>
    <w:rsid w:val="00845465"/>
    <w:rsid w:val="008657ED"/>
    <w:rsid w:val="008741A0"/>
    <w:rsid w:val="00890A46"/>
    <w:rsid w:val="008A631B"/>
    <w:rsid w:val="008B053B"/>
    <w:rsid w:val="008B1E5F"/>
    <w:rsid w:val="008C0E03"/>
    <w:rsid w:val="008C69D4"/>
    <w:rsid w:val="008D32F8"/>
    <w:rsid w:val="008E7F2E"/>
    <w:rsid w:val="00900553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E31F4"/>
    <w:rsid w:val="009E5B46"/>
    <w:rsid w:val="009E7A0F"/>
    <w:rsid w:val="009F154A"/>
    <w:rsid w:val="00A077CF"/>
    <w:rsid w:val="00A14FA3"/>
    <w:rsid w:val="00A17256"/>
    <w:rsid w:val="00A33E1A"/>
    <w:rsid w:val="00A33F1D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52BE"/>
    <w:rsid w:val="00AE606F"/>
    <w:rsid w:val="00AF4C88"/>
    <w:rsid w:val="00AF5347"/>
    <w:rsid w:val="00AF792F"/>
    <w:rsid w:val="00B03D0D"/>
    <w:rsid w:val="00B11951"/>
    <w:rsid w:val="00B26FB2"/>
    <w:rsid w:val="00B43CD8"/>
    <w:rsid w:val="00B462E0"/>
    <w:rsid w:val="00B53F1C"/>
    <w:rsid w:val="00B54222"/>
    <w:rsid w:val="00B54410"/>
    <w:rsid w:val="00B621AD"/>
    <w:rsid w:val="00B7737B"/>
    <w:rsid w:val="00B83B90"/>
    <w:rsid w:val="00BA3107"/>
    <w:rsid w:val="00BB0A1A"/>
    <w:rsid w:val="00BB777F"/>
    <w:rsid w:val="00BC7A6B"/>
    <w:rsid w:val="00BE78E7"/>
    <w:rsid w:val="00BF67BC"/>
    <w:rsid w:val="00C13384"/>
    <w:rsid w:val="00C345F8"/>
    <w:rsid w:val="00C57019"/>
    <w:rsid w:val="00C654F0"/>
    <w:rsid w:val="00C655BF"/>
    <w:rsid w:val="00C71ED9"/>
    <w:rsid w:val="00C8307C"/>
    <w:rsid w:val="00CA093A"/>
    <w:rsid w:val="00CA0CE9"/>
    <w:rsid w:val="00CA1722"/>
    <w:rsid w:val="00CA4C46"/>
    <w:rsid w:val="00CA53AE"/>
    <w:rsid w:val="00CC3D78"/>
    <w:rsid w:val="00CD2757"/>
    <w:rsid w:val="00CD3792"/>
    <w:rsid w:val="00CE2169"/>
    <w:rsid w:val="00CE2543"/>
    <w:rsid w:val="00CF0A78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DF64CB"/>
    <w:rsid w:val="00E03401"/>
    <w:rsid w:val="00E039EF"/>
    <w:rsid w:val="00E05B2C"/>
    <w:rsid w:val="00E07126"/>
    <w:rsid w:val="00E11154"/>
    <w:rsid w:val="00E2677B"/>
    <w:rsid w:val="00E3455A"/>
    <w:rsid w:val="00E34D95"/>
    <w:rsid w:val="00E53883"/>
    <w:rsid w:val="00E5624E"/>
    <w:rsid w:val="00E603FD"/>
    <w:rsid w:val="00E65383"/>
    <w:rsid w:val="00E654D4"/>
    <w:rsid w:val="00E729FC"/>
    <w:rsid w:val="00E8425D"/>
    <w:rsid w:val="00E857DA"/>
    <w:rsid w:val="00E9154C"/>
    <w:rsid w:val="00E91F5B"/>
    <w:rsid w:val="00E92D62"/>
    <w:rsid w:val="00EA37BC"/>
    <w:rsid w:val="00EC30A8"/>
    <w:rsid w:val="00EC5CE4"/>
    <w:rsid w:val="00ED057F"/>
    <w:rsid w:val="00ED4B9D"/>
    <w:rsid w:val="00ED69C2"/>
    <w:rsid w:val="00EE26BF"/>
    <w:rsid w:val="00F165C3"/>
    <w:rsid w:val="00F21A37"/>
    <w:rsid w:val="00F26B44"/>
    <w:rsid w:val="00F446EA"/>
    <w:rsid w:val="00F44763"/>
    <w:rsid w:val="00F46129"/>
    <w:rsid w:val="00F6453F"/>
    <w:rsid w:val="00F80F6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7F12-4C00-456B-B1E5-8CCB887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2021-06-11T14:25:00Z</cp:lastPrinted>
  <dcterms:created xsi:type="dcterms:W3CDTF">2021-06-11T15:11:00Z</dcterms:created>
  <dcterms:modified xsi:type="dcterms:W3CDTF">2021-06-11T15:14:00Z</dcterms:modified>
</cp:coreProperties>
</file>